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345"/>
        <w:tblW w:w="8897" w:type="dxa"/>
        <w:tblLook w:val="04A0" w:firstRow="1" w:lastRow="0" w:firstColumn="1" w:lastColumn="0" w:noHBand="0" w:noVBand="1"/>
      </w:tblPr>
      <w:tblGrid>
        <w:gridCol w:w="7196"/>
        <w:gridCol w:w="1701"/>
      </w:tblGrid>
      <w:tr w:rsidR="00792985" w:rsidTr="00C43A12">
        <w:tc>
          <w:tcPr>
            <w:tcW w:w="7196" w:type="dxa"/>
            <w:shd w:val="clear" w:color="auto" w:fill="8DB3E2" w:themeFill="text2" w:themeFillTint="66"/>
          </w:tcPr>
          <w:p w:rsidR="00792985" w:rsidRPr="005726A1" w:rsidRDefault="00792985" w:rsidP="009B6D0A">
            <w:pPr>
              <w:jc w:val="center"/>
              <w:rPr>
                <w:b/>
                <w:sz w:val="28"/>
                <w:szCs w:val="28"/>
              </w:rPr>
            </w:pPr>
            <w:r w:rsidRPr="005726A1">
              <w:rPr>
                <w:b/>
                <w:sz w:val="28"/>
                <w:szCs w:val="28"/>
              </w:rPr>
              <w:t>T</w:t>
            </w:r>
            <w:r w:rsidR="009B6D0A">
              <w:rPr>
                <w:b/>
                <w:sz w:val="28"/>
                <w:szCs w:val="28"/>
              </w:rPr>
              <w:t>ableau général des priorités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92985" w:rsidRPr="005726A1" w:rsidRDefault="00792985" w:rsidP="00C43A12">
            <w:pPr>
              <w:jc w:val="center"/>
              <w:rPr>
                <w:b/>
                <w:sz w:val="28"/>
                <w:szCs w:val="28"/>
              </w:rPr>
            </w:pPr>
            <w:r w:rsidRPr="005726A1">
              <w:rPr>
                <w:b/>
                <w:sz w:val="28"/>
                <w:szCs w:val="28"/>
              </w:rPr>
              <w:t>POINTS</w:t>
            </w:r>
          </w:p>
        </w:tc>
      </w:tr>
      <w:tr w:rsidR="00A10B2A" w:rsidRPr="009B6D0A" w:rsidTr="009B6D0A">
        <w:trPr>
          <w:trHeight w:val="70"/>
        </w:trPr>
        <w:tc>
          <w:tcPr>
            <w:tcW w:w="7196" w:type="dxa"/>
          </w:tcPr>
          <w:p w:rsidR="00A10B2A" w:rsidRPr="009B6D0A" w:rsidRDefault="00A10B2A" w:rsidP="00C43A1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A10B2A" w:rsidRPr="009B6D0A" w:rsidRDefault="00A10B2A" w:rsidP="00C43A12">
            <w:pPr>
              <w:rPr>
                <w:sz w:val="10"/>
                <w:szCs w:val="10"/>
              </w:rPr>
            </w:pPr>
          </w:p>
        </w:tc>
      </w:tr>
      <w:tr w:rsidR="00792985" w:rsidTr="00C43A12">
        <w:tc>
          <w:tcPr>
            <w:tcW w:w="7196" w:type="dxa"/>
            <w:shd w:val="clear" w:color="auto" w:fill="D9D9D9" w:themeFill="background1" w:themeFillShade="D9"/>
          </w:tcPr>
          <w:p w:rsidR="00792985" w:rsidRPr="005726A1" w:rsidRDefault="00792985" w:rsidP="009B6D0A">
            <w:pPr>
              <w:jc w:val="center"/>
              <w:rPr>
                <w:b/>
                <w:sz w:val="24"/>
                <w:szCs w:val="24"/>
              </w:rPr>
            </w:pPr>
            <w:r w:rsidRPr="005726A1">
              <w:rPr>
                <w:b/>
                <w:sz w:val="24"/>
                <w:szCs w:val="24"/>
              </w:rPr>
              <w:t>Situations vécues par le ménage en termes de logement</w:t>
            </w:r>
          </w:p>
        </w:tc>
        <w:tc>
          <w:tcPr>
            <w:tcW w:w="1701" w:type="dxa"/>
          </w:tcPr>
          <w:p w:rsidR="00792985" w:rsidRDefault="00792985" w:rsidP="00C43A12"/>
        </w:tc>
      </w:tr>
      <w:tr w:rsidR="00792985" w:rsidTr="00C43A12">
        <w:tc>
          <w:tcPr>
            <w:tcW w:w="7196" w:type="dxa"/>
          </w:tcPr>
          <w:p w:rsidR="00792985" w:rsidRDefault="00792985" w:rsidP="009B6D0A">
            <w:pPr>
              <w:jc w:val="both"/>
            </w:pPr>
            <w:r>
              <w:t>Le ménage locataire ou occupant un logement d’insertion, dans les 6 derniers mois de sa location ou de son occupation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5</w:t>
            </w:r>
          </w:p>
        </w:tc>
      </w:tr>
      <w:tr w:rsidR="00792985" w:rsidTr="00C43A12">
        <w:tc>
          <w:tcPr>
            <w:tcW w:w="7196" w:type="dxa"/>
          </w:tcPr>
          <w:p w:rsidR="00792985" w:rsidRDefault="00792985" w:rsidP="009B6D0A">
            <w:pPr>
              <w:jc w:val="both"/>
            </w:pPr>
            <w:r>
              <w:t xml:space="preserve">Le ménage occupant d’une caravane, d’un chalet ou d’un abri précaire, qu’il occupe à titre de résidence principale dans une zone définie par le plan </w:t>
            </w:r>
            <w:r w:rsidR="009B6D0A">
              <w:t>« </w:t>
            </w:r>
            <w:r>
              <w:t>Habitat permanent</w:t>
            </w:r>
            <w:r w:rsidR="009B6D0A">
              <w:t> »</w:t>
            </w:r>
            <w:r>
              <w:t>, s’il est visé par la phase 1 de ce plan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5</w:t>
            </w:r>
          </w:p>
        </w:tc>
      </w:tr>
      <w:tr w:rsidR="00792985" w:rsidTr="00C43A12">
        <w:tc>
          <w:tcPr>
            <w:tcW w:w="7196" w:type="dxa"/>
          </w:tcPr>
          <w:p w:rsidR="00792985" w:rsidRDefault="00792985" w:rsidP="00C43A12">
            <w:r>
              <w:t>Le ménage qui est reconnu par le C.P.A.S. comme :</w:t>
            </w:r>
          </w:p>
          <w:p w:rsidR="00792985" w:rsidRDefault="009B6D0A" w:rsidP="00C43A12">
            <w:pPr>
              <w:pStyle w:val="Paragraphedeliste"/>
              <w:numPr>
                <w:ilvl w:val="0"/>
                <w:numId w:val="1"/>
              </w:numPr>
            </w:pPr>
            <w:r>
              <w:t>v</w:t>
            </w:r>
            <w:r w:rsidR="00792985">
              <w:t>ictime d’un événement calamiteux</w:t>
            </w:r>
            <w:r>
              <w:t>,</w:t>
            </w:r>
          </w:p>
          <w:p w:rsidR="00792985" w:rsidRDefault="009B6D0A" w:rsidP="00C43A12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792985">
              <w:t>ans-abri</w:t>
            </w:r>
            <w:r>
              <w:t>.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5</w:t>
            </w:r>
          </w:p>
        </w:tc>
      </w:tr>
      <w:tr w:rsidR="00792985" w:rsidTr="00C43A12">
        <w:tc>
          <w:tcPr>
            <w:tcW w:w="7196" w:type="dxa"/>
          </w:tcPr>
          <w:p w:rsidR="00792985" w:rsidRDefault="00792985" w:rsidP="009B6D0A">
            <w:pPr>
              <w:jc w:val="both"/>
            </w:pPr>
            <w:r>
              <w:t>Le ménage qui doit quitter un logement reconnu inhabitable ou surpeuplé, ou ayant fait l’objet d’un arrêté d’inhabitabilité, de surpeuplement ou d’expropriation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4</w:t>
            </w:r>
          </w:p>
        </w:tc>
      </w:tr>
      <w:tr w:rsidR="00792985" w:rsidTr="00C43A12">
        <w:tc>
          <w:tcPr>
            <w:tcW w:w="7196" w:type="dxa"/>
          </w:tcPr>
          <w:p w:rsidR="00792985" w:rsidRDefault="00792985" w:rsidP="009B6D0A">
            <w:pPr>
              <w:jc w:val="both"/>
            </w:pPr>
            <w:r>
              <w:t>Le ménage locataire dont le bail est résilié par le bailleur en application de l’article 3, §§</w:t>
            </w:r>
            <w:r w:rsidR="009B6D0A">
              <w:t xml:space="preserve"> 2 et 3</w:t>
            </w:r>
            <w:r>
              <w:t xml:space="preserve"> de la loi du 21 février 1991</w:t>
            </w:r>
            <w:r w:rsidR="009B6D0A">
              <w:t>,</w:t>
            </w:r>
            <w:r>
              <w:t xml:space="preserve"> modifiant et co</w:t>
            </w:r>
            <w:r w:rsidR="006F54C1">
              <w:t>mplétant les dispositions du Cod</w:t>
            </w:r>
            <w:r>
              <w:t>e civil relatives aux baux à loyer, modifiée par la loi du 1</w:t>
            </w:r>
            <w:r w:rsidRPr="00792985">
              <w:rPr>
                <w:vertAlign w:val="superscript"/>
              </w:rPr>
              <w:t>er</w:t>
            </w:r>
            <w:r>
              <w:t xml:space="preserve"> mars 1991</w:t>
            </w:r>
            <w:r w:rsidR="009B6D0A">
              <w:t xml:space="preserve">(pour occupation personnelle </w:t>
            </w:r>
            <w:r w:rsidR="00A95DDE">
              <w:t>par le propriétaire ou pour travaux importants)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4</w:t>
            </w:r>
          </w:p>
        </w:tc>
      </w:tr>
      <w:tr w:rsidR="00792985" w:rsidTr="00C43A12">
        <w:tc>
          <w:tcPr>
            <w:tcW w:w="7196" w:type="dxa"/>
          </w:tcPr>
          <w:p w:rsidR="00792985" w:rsidRDefault="00792985" w:rsidP="009B6D0A">
            <w:pPr>
              <w:jc w:val="both"/>
            </w:pPr>
            <w:r>
              <w:t>Le ménage locataire qui doit quitter un logement situé dans un périmètre de rénovation urbaine communale déterminé réglementairement, pour l</w:t>
            </w:r>
            <w:r w:rsidR="006F54C1">
              <w:t>equel un compromis de vente a ét</w:t>
            </w:r>
            <w:r>
              <w:t>é signé au profit d’une personne morale de droit public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4</w:t>
            </w:r>
          </w:p>
        </w:tc>
      </w:tr>
      <w:tr w:rsidR="00792985" w:rsidTr="00C43A12">
        <w:tc>
          <w:tcPr>
            <w:tcW w:w="7196" w:type="dxa"/>
          </w:tcPr>
          <w:p w:rsidR="00792985" w:rsidRDefault="00792985" w:rsidP="009B6D0A">
            <w:pPr>
              <w:jc w:val="both"/>
            </w:pPr>
            <w:r>
              <w:t>Le ménage occupant d’une caravane, d’un chalet ou d’un abri précaire, qu’il occupe à titre de résidence principale dans une zone non définie par le plan « Habitat permanent » ou dans une zone définie par le plan « Habitat permanent » s’il est visé par la phase 2 de ce plan</w:t>
            </w:r>
          </w:p>
        </w:tc>
        <w:tc>
          <w:tcPr>
            <w:tcW w:w="1701" w:type="dxa"/>
          </w:tcPr>
          <w:p w:rsidR="00792985" w:rsidRDefault="00792985" w:rsidP="00C43A12">
            <w:pPr>
              <w:jc w:val="center"/>
            </w:pPr>
            <w:r>
              <w:t>3</w:t>
            </w:r>
          </w:p>
        </w:tc>
      </w:tr>
      <w:tr w:rsidR="006F54C1" w:rsidRPr="009B6D0A" w:rsidTr="00C43A12">
        <w:tc>
          <w:tcPr>
            <w:tcW w:w="7196" w:type="dxa"/>
          </w:tcPr>
          <w:p w:rsidR="006F54C1" w:rsidRPr="009B6D0A" w:rsidRDefault="006F54C1" w:rsidP="00C43A1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6F54C1" w:rsidRPr="009B6D0A" w:rsidRDefault="006F54C1" w:rsidP="00C43A12">
            <w:pPr>
              <w:rPr>
                <w:sz w:val="10"/>
                <w:szCs w:val="10"/>
              </w:rPr>
            </w:pPr>
          </w:p>
        </w:tc>
      </w:tr>
      <w:tr w:rsidR="006F54C1" w:rsidTr="00C43A12">
        <w:tc>
          <w:tcPr>
            <w:tcW w:w="7196" w:type="dxa"/>
            <w:shd w:val="clear" w:color="auto" w:fill="D9D9D9" w:themeFill="background1" w:themeFillShade="D9"/>
          </w:tcPr>
          <w:p w:rsidR="006F54C1" w:rsidRPr="005726A1" w:rsidRDefault="006F54C1" w:rsidP="009B6D0A">
            <w:pPr>
              <w:jc w:val="center"/>
              <w:rPr>
                <w:b/>
                <w:sz w:val="24"/>
                <w:szCs w:val="24"/>
              </w:rPr>
            </w:pPr>
            <w:r w:rsidRPr="005726A1">
              <w:rPr>
                <w:b/>
                <w:sz w:val="24"/>
                <w:szCs w:val="24"/>
              </w:rPr>
              <w:t>Situations personnelles du ménage</w:t>
            </w:r>
          </w:p>
        </w:tc>
        <w:tc>
          <w:tcPr>
            <w:tcW w:w="1701" w:type="dxa"/>
          </w:tcPr>
          <w:p w:rsidR="006F54C1" w:rsidRDefault="006F54C1" w:rsidP="00C43A12"/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La personne qui a quitté un logement, dans les 3 mois qui précédent sa candidature, suite à des violences intrafamiliales attestées par des documents probants (procès-verbal, attestation de foyer ou attestation du C.P.A.S.)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5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Ménage dont les revenus imposables globalement et issus au moins en partie d’un travail, sont inférieurs à 30.100 €</w:t>
            </w:r>
            <w:r w:rsidR="009B6D0A">
              <w:t>,</w:t>
            </w:r>
            <w:r>
              <w:t xml:space="preserve"> augmentés de 2.200 € par enfant à charge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4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Le mineur mis en autonomie et encadré par un service d’aide à la jeunesse agréé par la Communauté française ou la Communauté germanophone en application de la réglementation en la matière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3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Le ménage dont un membre est reconnu handicapé</w:t>
            </w:r>
            <w:r w:rsidR="00C43A12">
              <w:t xml:space="preserve"> par le SPF Sécurité sociale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3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Le ménage dont un membre ne peut plus exercer d’activité professionnelle à la suite d’une maladie professionnelle ou d’un accident du travail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3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Le ménage dont le seul membre au travail a perdu son emploi dans les 12 derniers mois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3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Le ménage en état de précarité bénéficiant exclusivement d’une pension légale en application de la réglementation en la matière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3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Le bénéficiaire d’une pension de prisonnier de guerre ou d’invalide de guerre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2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L’ancien prisonnier politique et ses ayants droits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2</w:t>
            </w:r>
          </w:p>
        </w:tc>
      </w:tr>
      <w:tr w:rsidR="006F54C1" w:rsidTr="00C43A12">
        <w:tc>
          <w:tcPr>
            <w:tcW w:w="7196" w:type="dxa"/>
          </w:tcPr>
          <w:p w:rsidR="006F54C1" w:rsidRDefault="006F54C1" w:rsidP="009B6D0A">
            <w:pPr>
              <w:jc w:val="both"/>
            </w:pPr>
            <w:r>
              <w:t>L’ancien ouvrier mineur</w:t>
            </w:r>
          </w:p>
        </w:tc>
        <w:tc>
          <w:tcPr>
            <w:tcW w:w="1701" w:type="dxa"/>
          </w:tcPr>
          <w:p w:rsidR="006F54C1" w:rsidRDefault="006F54C1" w:rsidP="00C43A12">
            <w:pPr>
              <w:jc w:val="center"/>
            </w:pPr>
            <w:r>
              <w:t>2</w:t>
            </w:r>
          </w:p>
        </w:tc>
      </w:tr>
    </w:tbl>
    <w:p w:rsidR="00C43A12" w:rsidRPr="009B6D0A" w:rsidRDefault="00C43A12" w:rsidP="00EA3458">
      <w:pPr>
        <w:jc w:val="both"/>
        <w:rPr>
          <w:b/>
          <w:sz w:val="10"/>
          <w:szCs w:val="10"/>
        </w:rPr>
      </w:pPr>
    </w:p>
    <w:p w:rsidR="006F54C1" w:rsidRPr="00EA3458" w:rsidRDefault="006F54C1" w:rsidP="00936194">
      <w:pPr>
        <w:jc w:val="both"/>
        <w:rPr>
          <w:b/>
        </w:rPr>
      </w:pPr>
      <w:r w:rsidRPr="00EA3458">
        <w:rPr>
          <w:b/>
        </w:rPr>
        <w:t>Le ménage se trouvant dans plusieurs situations bénéficiant de points de priorité régiona</w:t>
      </w:r>
      <w:bookmarkStart w:id="0" w:name="_GoBack"/>
      <w:bookmarkEnd w:id="0"/>
      <w:r w:rsidRPr="00EA3458">
        <w:rPr>
          <w:b/>
        </w:rPr>
        <w:t xml:space="preserve">les peut cumuler les points d’une seule situation personnelle avec les points d’une seule situation vécue en </w:t>
      </w:r>
      <w:r w:rsidR="009B6D0A">
        <w:rPr>
          <w:b/>
        </w:rPr>
        <w:t>terme</w:t>
      </w:r>
      <w:r w:rsidRPr="00EA3458">
        <w:rPr>
          <w:b/>
        </w:rPr>
        <w:t xml:space="preserve"> de logement. Il ne peut en revanche pas cumuler les points de plusieurs situations personnelles, ni les points de plusieurs situations vécues en terme de logement.</w:t>
      </w:r>
    </w:p>
    <w:sectPr w:rsidR="006F54C1" w:rsidRPr="00EA3458" w:rsidSect="00A10B2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73C1"/>
    <w:multiLevelType w:val="hybridMultilevel"/>
    <w:tmpl w:val="6FE4FA34"/>
    <w:lvl w:ilvl="0" w:tplc="101C5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8A"/>
    <w:rsid w:val="00070934"/>
    <w:rsid w:val="00442F8A"/>
    <w:rsid w:val="0049446C"/>
    <w:rsid w:val="005726A1"/>
    <w:rsid w:val="006F54C1"/>
    <w:rsid w:val="00792985"/>
    <w:rsid w:val="00936194"/>
    <w:rsid w:val="009B6D0A"/>
    <w:rsid w:val="00A10B2A"/>
    <w:rsid w:val="00A95DDE"/>
    <w:rsid w:val="00AA58F6"/>
    <w:rsid w:val="00B65AE1"/>
    <w:rsid w:val="00C43A12"/>
    <w:rsid w:val="00E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Jadot</dc:creator>
  <cp:lastModifiedBy>Nancy Dolce</cp:lastModifiedBy>
  <cp:revision>10</cp:revision>
  <dcterms:created xsi:type="dcterms:W3CDTF">2016-07-08T10:55:00Z</dcterms:created>
  <dcterms:modified xsi:type="dcterms:W3CDTF">2019-08-19T13:10:00Z</dcterms:modified>
</cp:coreProperties>
</file>